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08" w:rsidRDefault="008255D8" w:rsidP="008255D8">
      <w:pPr>
        <w:jc w:val="center"/>
        <w:rPr>
          <w:b/>
          <w:color w:val="2E74B5" w:themeColor="accent1" w:themeShade="BF"/>
          <w:sz w:val="24"/>
          <w:szCs w:val="24"/>
          <w:u w:val="single"/>
        </w:rPr>
      </w:pPr>
      <w:r w:rsidRPr="008255D8">
        <w:rPr>
          <w:b/>
          <w:color w:val="2E74B5" w:themeColor="accent1" w:themeShade="BF"/>
          <w:sz w:val="24"/>
          <w:szCs w:val="24"/>
          <w:u w:val="single"/>
        </w:rPr>
        <w:t>GEORGIAN NATIONAL AGENCY FOR STANDARDS AND METROLOGY</w:t>
      </w:r>
      <w:r w:rsidR="00A6452C">
        <w:rPr>
          <w:b/>
          <w:color w:val="2E74B5" w:themeColor="accent1" w:themeShade="BF"/>
          <w:sz w:val="24"/>
          <w:szCs w:val="24"/>
          <w:u w:val="single"/>
        </w:rPr>
        <w:t xml:space="preserve"> (GEOSTM)</w:t>
      </w:r>
    </w:p>
    <w:tbl>
      <w:tblPr>
        <w:tblW w:w="15660" w:type="dxa"/>
        <w:tblInd w:w="-635" w:type="dxa"/>
        <w:tblLook w:val="04A0" w:firstRow="1" w:lastRow="0" w:firstColumn="1" w:lastColumn="0" w:noHBand="0" w:noVBand="1"/>
      </w:tblPr>
      <w:tblGrid>
        <w:gridCol w:w="2015"/>
        <w:gridCol w:w="1186"/>
        <w:gridCol w:w="808"/>
        <w:gridCol w:w="711"/>
        <w:gridCol w:w="1096"/>
        <w:gridCol w:w="715"/>
        <w:gridCol w:w="1488"/>
        <w:gridCol w:w="1483"/>
        <w:gridCol w:w="1881"/>
        <w:gridCol w:w="1363"/>
        <w:gridCol w:w="1171"/>
        <w:gridCol w:w="1743"/>
      </w:tblGrid>
      <w:tr w:rsidR="009718DE" w:rsidRPr="008255D8" w:rsidTr="001D170A">
        <w:trPr>
          <w:trHeight w:val="495"/>
        </w:trPr>
        <w:tc>
          <w:tcPr>
            <w:tcW w:w="15660" w:type="dxa"/>
            <w:gridSpan w:val="12"/>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9718DE" w:rsidRPr="00F105E6" w:rsidRDefault="009718DE" w:rsidP="009718DE">
            <w:pPr>
              <w:spacing w:after="0" w:line="240" w:lineRule="auto"/>
              <w:jc w:val="center"/>
              <w:rPr>
                <w:rFonts w:eastAsia="Times New Roman" w:cstheme="minorHAnsi"/>
                <w:b/>
                <w:bCs/>
                <w:sz w:val="20"/>
                <w:szCs w:val="20"/>
              </w:rPr>
            </w:pPr>
            <w:r w:rsidRPr="00F105E6">
              <w:rPr>
                <w:rFonts w:ascii="Calibri" w:eastAsia="Times New Roman" w:hAnsi="Calibri" w:cs="Calibri"/>
                <w:b/>
                <w:bCs/>
                <w:sz w:val="20"/>
                <w:szCs w:val="20"/>
              </w:rPr>
              <w:t>TECHNICAL REGULATIONS, STANDARDS AND CONFORMITY ASSESSMENT</w:t>
            </w:r>
          </w:p>
        </w:tc>
      </w:tr>
      <w:tr w:rsidR="008255D8" w:rsidRPr="008255D8" w:rsidTr="001D170A">
        <w:trPr>
          <w:trHeight w:val="495"/>
        </w:trPr>
        <w:tc>
          <w:tcPr>
            <w:tcW w:w="3201" w:type="dxa"/>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EU Law</w:t>
            </w:r>
          </w:p>
        </w:tc>
        <w:tc>
          <w:tcPr>
            <w:tcW w:w="808" w:type="dxa"/>
            <w:vMerge w:val="restart"/>
            <w:tcBorders>
              <w:top w:val="nil"/>
              <w:left w:val="single" w:sz="4" w:space="0" w:color="FFFFFF"/>
              <w:bottom w:val="nil"/>
              <w:right w:val="single" w:sz="8" w:space="0" w:color="FFFFFF"/>
            </w:tcBorders>
            <w:shd w:val="clear" w:color="000000" w:fill="FFD966"/>
            <w:vAlign w:val="center"/>
            <w:hideMark/>
          </w:tcPr>
          <w:p w:rsidR="008255D8" w:rsidRPr="008255D8" w:rsidRDefault="008255D8" w:rsidP="008255D8">
            <w:pPr>
              <w:spacing w:after="0" w:line="240" w:lineRule="auto"/>
              <w:jc w:val="center"/>
              <w:rPr>
                <w:rFonts w:eastAsia="Times New Roman" w:cstheme="minorHAnsi"/>
                <w:b/>
                <w:bCs/>
                <w:sz w:val="16"/>
                <w:szCs w:val="16"/>
              </w:rPr>
            </w:pPr>
            <w:r w:rsidRPr="008255D8">
              <w:rPr>
                <w:rFonts w:eastAsia="Times New Roman" w:cstheme="minorHAnsi"/>
                <w:b/>
                <w:bCs/>
                <w:sz w:val="16"/>
                <w:szCs w:val="16"/>
              </w:rPr>
              <w:t xml:space="preserve">AA </w:t>
            </w:r>
            <w:r w:rsidRPr="008255D8">
              <w:rPr>
                <w:rFonts w:eastAsia="Times New Roman" w:cstheme="minorHAnsi"/>
                <w:b/>
                <w:bCs/>
                <w:sz w:val="16"/>
                <w:szCs w:val="16"/>
              </w:rPr>
              <w:br/>
              <w:t>Deadline</w:t>
            </w:r>
          </w:p>
        </w:tc>
        <w:tc>
          <w:tcPr>
            <w:tcW w:w="711" w:type="dxa"/>
            <w:vMerge w:val="restart"/>
            <w:tcBorders>
              <w:top w:val="nil"/>
              <w:left w:val="single" w:sz="8" w:space="0" w:color="FFFFFF"/>
              <w:bottom w:val="nil"/>
              <w:right w:val="single" w:sz="8" w:space="0" w:color="FFFFFF"/>
            </w:tcBorders>
            <w:shd w:val="clear" w:color="000000" w:fill="70AD47"/>
            <w:vAlign w:val="center"/>
            <w:hideMark/>
          </w:tcPr>
          <w:p w:rsidR="008255D8" w:rsidRPr="008255D8" w:rsidRDefault="008255D8" w:rsidP="008255D8">
            <w:pPr>
              <w:spacing w:after="0" w:line="240" w:lineRule="auto"/>
              <w:jc w:val="center"/>
              <w:rPr>
                <w:rFonts w:eastAsia="Times New Roman" w:cstheme="minorHAnsi"/>
                <w:b/>
                <w:bCs/>
                <w:sz w:val="16"/>
                <w:szCs w:val="16"/>
              </w:rPr>
            </w:pPr>
            <w:r w:rsidRPr="008255D8">
              <w:rPr>
                <w:rFonts w:eastAsia="Times New Roman" w:cstheme="minorHAnsi"/>
                <w:b/>
                <w:bCs/>
                <w:sz w:val="16"/>
                <w:szCs w:val="16"/>
              </w:rPr>
              <w:t xml:space="preserve">LA </w:t>
            </w:r>
            <w:r w:rsidRPr="008255D8">
              <w:rPr>
                <w:rFonts w:eastAsia="Times New Roman" w:cstheme="minorHAnsi"/>
                <w:b/>
                <w:bCs/>
                <w:sz w:val="16"/>
                <w:szCs w:val="16"/>
              </w:rPr>
              <w:br/>
              <w:t>Status</w:t>
            </w:r>
          </w:p>
        </w:tc>
        <w:tc>
          <w:tcPr>
            <w:tcW w:w="1096" w:type="dxa"/>
            <w:tcBorders>
              <w:top w:val="nil"/>
              <w:left w:val="nil"/>
              <w:bottom w:val="nil"/>
              <w:right w:val="nil"/>
            </w:tcBorders>
            <w:shd w:val="clear" w:color="000000" w:fill="A9D08E"/>
            <w:noWrap/>
            <w:vAlign w:val="center"/>
            <w:hideMark/>
          </w:tcPr>
          <w:p w:rsidR="008255D8" w:rsidRPr="008255D8" w:rsidRDefault="008255D8" w:rsidP="008255D8">
            <w:pPr>
              <w:spacing w:after="0" w:line="240" w:lineRule="auto"/>
              <w:jc w:val="right"/>
              <w:rPr>
                <w:rFonts w:eastAsia="Times New Roman" w:cstheme="minorHAnsi"/>
                <w:b/>
                <w:bCs/>
                <w:sz w:val="16"/>
                <w:szCs w:val="16"/>
              </w:rPr>
            </w:pPr>
            <w:r w:rsidRPr="008255D8">
              <w:rPr>
                <w:rFonts w:eastAsia="Times New Roman" w:cstheme="minorHAnsi"/>
                <w:b/>
                <w:bCs/>
                <w:sz w:val="16"/>
                <w:szCs w:val="16"/>
              </w:rPr>
              <w:t xml:space="preserve">Year </w:t>
            </w:r>
          </w:p>
        </w:tc>
        <w:tc>
          <w:tcPr>
            <w:tcW w:w="715" w:type="dxa"/>
            <w:tcBorders>
              <w:top w:val="nil"/>
              <w:left w:val="nil"/>
              <w:bottom w:val="nil"/>
              <w:right w:val="single" w:sz="8" w:space="0" w:color="FFFFFF"/>
            </w:tcBorders>
            <w:shd w:val="clear" w:color="000000" w:fill="A9D08E"/>
            <w:noWrap/>
            <w:vAlign w:val="center"/>
            <w:hideMark/>
          </w:tcPr>
          <w:p w:rsidR="008255D8" w:rsidRPr="008255D8" w:rsidRDefault="008255D8" w:rsidP="008255D8">
            <w:pPr>
              <w:spacing w:after="0" w:line="240" w:lineRule="auto"/>
              <w:rPr>
                <w:rFonts w:eastAsia="Times New Roman" w:cstheme="minorHAnsi"/>
                <w:b/>
                <w:bCs/>
                <w:color w:val="FFFFFF"/>
                <w:sz w:val="16"/>
                <w:szCs w:val="16"/>
              </w:rPr>
            </w:pPr>
            <w:r w:rsidRPr="008255D8">
              <w:rPr>
                <w:rFonts w:eastAsia="Times New Roman" w:cstheme="minorHAnsi"/>
                <w:b/>
                <w:bCs/>
                <w:color w:val="FFFFFF"/>
                <w:sz w:val="16"/>
                <w:szCs w:val="16"/>
              </w:rPr>
              <w:t> </w:t>
            </w:r>
          </w:p>
        </w:tc>
        <w:tc>
          <w:tcPr>
            <w:tcW w:w="2971" w:type="dxa"/>
            <w:gridSpan w:val="2"/>
            <w:tcBorders>
              <w:top w:val="nil"/>
              <w:left w:val="nil"/>
              <w:bottom w:val="single" w:sz="4" w:space="0" w:color="FFFFFF"/>
              <w:right w:val="single" w:sz="8" w:space="0" w:color="FFFFFF"/>
            </w:tcBorders>
            <w:shd w:val="clear" w:color="000000" w:fill="A9D08E"/>
            <w:noWrap/>
            <w:vAlign w:val="center"/>
            <w:hideMark/>
          </w:tcPr>
          <w:p w:rsidR="008255D8" w:rsidRPr="008255D8" w:rsidRDefault="008255D8" w:rsidP="008255D8">
            <w:pPr>
              <w:spacing w:after="0" w:line="240" w:lineRule="auto"/>
              <w:jc w:val="center"/>
              <w:rPr>
                <w:rFonts w:eastAsia="Times New Roman" w:cstheme="minorHAnsi"/>
                <w:b/>
                <w:bCs/>
                <w:sz w:val="16"/>
                <w:szCs w:val="16"/>
              </w:rPr>
            </w:pPr>
            <w:r w:rsidRPr="008255D8">
              <w:rPr>
                <w:rFonts w:eastAsia="Times New Roman" w:cstheme="minorHAnsi"/>
                <w:b/>
                <w:bCs/>
                <w:sz w:val="16"/>
                <w:szCs w:val="16"/>
              </w:rPr>
              <w:t>Domestic Legislation</w:t>
            </w:r>
          </w:p>
        </w:tc>
        <w:tc>
          <w:tcPr>
            <w:tcW w:w="3244" w:type="dxa"/>
            <w:gridSpan w:val="2"/>
            <w:tcBorders>
              <w:top w:val="nil"/>
              <w:left w:val="nil"/>
              <w:bottom w:val="single" w:sz="4" w:space="0" w:color="FFFFFF"/>
              <w:right w:val="single" w:sz="8" w:space="0" w:color="FFFFFF"/>
            </w:tcBorders>
            <w:shd w:val="clear" w:color="000000" w:fill="A9D08E"/>
            <w:noWrap/>
            <w:vAlign w:val="center"/>
            <w:hideMark/>
          </w:tcPr>
          <w:p w:rsidR="008255D8" w:rsidRPr="008255D8" w:rsidRDefault="008255D8" w:rsidP="008255D8">
            <w:pPr>
              <w:spacing w:after="0" w:line="240" w:lineRule="auto"/>
              <w:jc w:val="center"/>
              <w:rPr>
                <w:rFonts w:eastAsia="Times New Roman" w:cstheme="minorHAnsi"/>
                <w:b/>
                <w:bCs/>
                <w:sz w:val="16"/>
                <w:szCs w:val="16"/>
              </w:rPr>
            </w:pPr>
            <w:r w:rsidRPr="008255D8">
              <w:rPr>
                <w:rFonts w:eastAsia="Times New Roman" w:cstheme="minorHAnsi"/>
                <w:b/>
                <w:bCs/>
                <w:sz w:val="16"/>
                <w:szCs w:val="16"/>
              </w:rPr>
              <w:t>Institution(s) In Charge</w:t>
            </w:r>
          </w:p>
        </w:tc>
        <w:tc>
          <w:tcPr>
            <w:tcW w:w="1171" w:type="dxa"/>
            <w:vMerge w:val="restart"/>
            <w:tcBorders>
              <w:top w:val="single" w:sz="4" w:space="0" w:color="FFFFFF"/>
              <w:left w:val="single" w:sz="8" w:space="0" w:color="FFFFFF"/>
              <w:bottom w:val="nil"/>
              <w:right w:val="single" w:sz="8" w:space="0" w:color="FFFFFF"/>
            </w:tcBorders>
            <w:shd w:val="clear" w:color="000000" w:fill="A9D08E"/>
            <w:vAlign w:val="center"/>
            <w:hideMark/>
          </w:tcPr>
          <w:p w:rsidR="008255D8" w:rsidRPr="008255D8" w:rsidRDefault="008255D8" w:rsidP="008255D8">
            <w:pPr>
              <w:spacing w:after="0" w:line="240" w:lineRule="auto"/>
              <w:jc w:val="center"/>
              <w:rPr>
                <w:rFonts w:eastAsia="Times New Roman" w:cstheme="minorHAnsi"/>
                <w:b/>
                <w:bCs/>
                <w:sz w:val="16"/>
                <w:szCs w:val="16"/>
              </w:rPr>
            </w:pPr>
            <w:r w:rsidRPr="008255D8">
              <w:rPr>
                <w:rFonts w:eastAsia="Times New Roman" w:cstheme="minorHAnsi"/>
                <w:b/>
                <w:bCs/>
                <w:sz w:val="16"/>
                <w:szCs w:val="16"/>
              </w:rPr>
              <w:t>COMMENTS</w:t>
            </w:r>
          </w:p>
        </w:tc>
        <w:tc>
          <w:tcPr>
            <w:tcW w:w="1743" w:type="dxa"/>
            <w:vMerge w:val="restart"/>
            <w:tcBorders>
              <w:top w:val="single" w:sz="4" w:space="0" w:color="FFFFFF"/>
              <w:left w:val="single" w:sz="8" w:space="0" w:color="FFFFFF"/>
              <w:right w:val="single" w:sz="8" w:space="0" w:color="FFFFFF"/>
            </w:tcBorders>
            <w:shd w:val="clear" w:color="000000" w:fill="A9D08E"/>
            <w:vAlign w:val="center"/>
          </w:tcPr>
          <w:p w:rsidR="008255D8" w:rsidRPr="008255D8" w:rsidRDefault="008255D8" w:rsidP="001D170A">
            <w:pPr>
              <w:spacing w:after="0" w:line="240" w:lineRule="auto"/>
              <w:jc w:val="center"/>
              <w:rPr>
                <w:rFonts w:eastAsia="Times New Roman" w:cstheme="minorHAnsi"/>
                <w:b/>
                <w:bCs/>
                <w:sz w:val="16"/>
                <w:szCs w:val="16"/>
              </w:rPr>
            </w:pPr>
            <w:r w:rsidRPr="008255D8">
              <w:rPr>
                <w:rFonts w:eastAsia="Times New Roman" w:cstheme="minorHAnsi"/>
                <w:b/>
                <w:bCs/>
                <w:sz w:val="16"/>
                <w:szCs w:val="16"/>
              </w:rPr>
              <w:t>REFERENCE</w:t>
            </w:r>
          </w:p>
        </w:tc>
      </w:tr>
      <w:tr w:rsidR="008255D8" w:rsidRPr="008255D8" w:rsidTr="001D170A">
        <w:trPr>
          <w:trHeight w:val="810"/>
        </w:trPr>
        <w:tc>
          <w:tcPr>
            <w:tcW w:w="2015" w:type="dxa"/>
            <w:tcBorders>
              <w:top w:val="nil"/>
              <w:left w:val="single" w:sz="4" w:space="0" w:color="FFFFFF"/>
              <w:bottom w:val="single" w:sz="4" w:space="0" w:color="auto"/>
              <w:right w:val="nil"/>
            </w:tcBorders>
            <w:shd w:val="clear" w:color="000000" w:fill="FFF2CC"/>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br/>
            </w:r>
            <w:r w:rsidRPr="008255D8">
              <w:rPr>
                <w:rFonts w:eastAsia="Times New Roman" w:cstheme="minorHAnsi"/>
                <w:b/>
                <w:bCs/>
                <w:i/>
                <w:iCs/>
                <w:color w:val="3A3838"/>
                <w:sz w:val="16"/>
                <w:szCs w:val="16"/>
              </w:rPr>
              <w:t>as per</w:t>
            </w:r>
            <w:r w:rsidRPr="008255D8">
              <w:rPr>
                <w:rFonts w:eastAsia="Times New Roman" w:cstheme="minorHAnsi"/>
                <w:b/>
                <w:bCs/>
                <w:color w:val="3A3838"/>
                <w:sz w:val="16"/>
                <w:szCs w:val="16"/>
              </w:rPr>
              <w:t xml:space="preserve"> AA</w:t>
            </w:r>
          </w:p>
        </w:tc>
        <w:tc>
          <w:tcPr>
            <w:tcW w:w="1186" w:type="dxa"/>
            <w:tcBorders>
              <w:top w:val="nil"/>
              <w:left w:val="single" w:sz="4" w:space="0" w:color="FFFFFF"/>
              <w:bottom w:val="single" w:sz="4" w:space="0" w:color="auto"/>
              <w:right w:val="nil"/>
            </w:tcBorders>
            <w:shd w:val="clear" w:color="000000" w:fill="FFF2CC"/>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br/>
            </w:r>
            <w:r w:rsidRPr="008255D8">
              <w:rPr>
                <w:rFonts w:eastAsia="Times New Roman" w:cstheme="minorHAnsi"/>
                <w:b/>
                <w:bCs/>
                <w:i/>
                <w:iCs/>
                <w:color w:val="3A3838"/>
                <w:sz w:val="16"/>
                <w:szCs w:val="16"/>
              </w:rPr>
              <w:t xml:space="preserve">as per </w:t>
            </w:r>
            <w:r w:rsidRPr="008255D8">
              <w:rPr>
                <w:rFonts w:eastAsia="Times New Roman" w:cstheme="minorHAnsi"/>
                <w:b/>
                <w:bCs/>
                <w:color w:val="3A3838"/>
                <w:sz w:val="16"/>
                <w:szCs w:val="16"/>
              </w:rPr>
              <w:t>changes since AA</w:t>
            </w:r>
          </w:p>
        </w:tc>
        <w:tc>
          <w:tcPr>
            <w:tcW w:w="808" w:type="dxa"/>
            <w:vMerge/>
            <w:tcBorders>
              <w:top w:val="nil"/>
              <w:left w:val="single" w:sz="4" w:space="0" w:color="FFFFFF"/>
              <w:bottom w:val="single" w:sz="4" w:space="0" w:color="auto"/>
              <w:right w:val="single" w:sz="8" w:space="0" w:color="FFFFFF"/>
            </w:tcBorders>
            <w:vAlign w:val="center"/>
            <w:hideMark/>
          </w:tcPr>
          <w:p w:rsidR="008255D8" w:rsidRPr="008255D8" w:rsidRDefault="008255D8" w:rsidP="008255D8">
            <w:pPr>
              <w:spacing w:after="0" w:line="240" w:lineRule="auto"/>
              <w:rPr>
                <w:rFonts w:eastAsia="Times New Roman" w:cstheme="minorHAnsi"/>
                <w:b/>
                <w:bCs/>
                <w:sz w:val="16"/>
                <w:szCs w:val="16"/>
              </w:rPr>
            </w:pPr>
          </w:p>
        </w:tc>
        <w:tc>
          <w:tcPr>
            <w:tcW w:w="711" w:type="dxa"/>
            <w:vMerge/>
            <w:tcBorders>
              <w:top w:val="nil"/>
              <w:left w:val="single" w:sz="8" w:space="0" w:color="FFFFFF"/>
              <w:bottom w:val="single" w:sz="4" w:space="0" w:color="auto"/>
              <w:right w:val="single" w:sz="8" w:space="0" w:color="FFFFFF"/>
            </w:tcBorders>
            <w:vAlign w:val="center"/>
            <w:hideMark/>
          </w:tcPr>
          <w:p w:rsidR="008255D8" w:rsidRPr="008255D8" w:rsidRDefault="008255D8" w:rsidP="008255D8">
            <w:pPr>
              <w:spacing w:after="0" w:line="240" w:lineRule="auto"/>
              <w:rPr>
                <w:rFonts w:eastAsia="Times New Roman" w:cstheme="minorHAnsi"/>
                <w:b/>
                <w:bCs/>
                <w:sz w:val="16"/>
                <w:szCs w:val="16"/>
              </w:rPr>
            </w:pPr>
          </w:p>
        </w:tc>
        <w:tc>
          <w:tcPr>
            <w:tcW w:w="1096" w:type="dxa"/>
            <w:tcBorders>
              <w:top w:val="single" w:sz="4" w:space="0" w:color="FFFFFF"/>
              <w:left w:val="nil"/>
              <w:bottom w:val="single" w:sz="4" w:space="0" w:color="auto"/>
              <w:right w:val="single" w:sz="4"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Adoption</w:t>
            </w:r>
          </w:p>
        </w:tc>
        <w:tc>
          <w:tcPr>
            <w:tcW w:w="715" w:type="dxa"/>
            <w:tcBorders>
              <w:top w:val="single" w:sz="4" w:space="0" w:color="FFFFFF"/>
              <w:left w:val="single" w:sz="8" w:space="0" w:color="FFFFFF"/>
              <w:bottom w:val="single" w:sz="4" w:space="0" w:color="auto"/>
              <w:right w:val="single" w:sz="4"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Entry into force</w:t>
            </w:r>
          </w:p>
        </w:tc>
        <w:tc>
          <w:tcPr>
            <w:tcW w:w="1488" w:type="dxa"/>
            <w:tcBorders>
              <w:top w:val="nil"/>
              <w:left w:val="single" w:sz="8" w:space="0" w:color="FFFFFF"/>
              <w:bottom w:val="single" w:sz="4" w:space="0" w:color="auto"/>
              <w:right w:val="single" w:sz="4"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New</w:t>
            </w:r>
          </w:p>
        </w:tc>
        <w:tc>
          <w:tcPr>
            <w:tcW w:w="1483" w:type="dxa"/>
            <w:tcBorders>
              <w:top w:val="nil"/>
              <w:left w:val="nil"/>
              <w:bottom w:val="single" w:sz="4" w:space="0" w:color="auto"/>
              <w:right w:val="single" w:sz="8"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Amendments</w:t>
            </w:r>
          </w:p>
        </w:tc>
        <w:tc>
          <w:tcPr>
            <w:tcW w:w="1881" w:type="dxa"/>
            <w:tcBorders>
              <w:top w:val="nil"/>
              <w:left w:val="nil"/>
              <w:bottom w:val="single" w:sz="4" w:space="0" w:color="auto"/>
              <w:right w:val="single" w:sz="4"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 xml:space="preserve">Leader </w:t>
            </w:r>
            <w:r w:rsidRPr="008255D8">
              <w:rPr>
                <w:rFonts w:eastAsia="Times New Roman" w:cstheme="minorHAnsi"/>
                <w:b/>
                <w:bCs/>
                <w:color w:val="3A3838"/>
                <w:sz w:val="16"/>
                <w:szCs w:val="16"/>
              </w:rPr>
              <w:br/>
            </w:r>
            <w:r w:rsidRPr="008255D8">
              <w:rPr>
                <w:rFonts w:eastAsia="Times New Roman" w:cstheme="minorHAnsi"/>
                <w:i/>
                <w:iCs/>
                <w:color w:val="3A3838"/>
                <w:sz w:val="16"/>
                <w:szCs w:val="16"/>
              </w:rPr>
              <w:t>(incl. contact point)</w:t>
            </w:r>
          </w:p>
        </w:tc>
        <w:tc>
          <w:tcPr>
            <w:tcW w:w="1363" w:type="dxa"/>
            <w:tcBorders>
              <w:top w:val="nil"/>
              <w:left w:val="nil"/>
              <w:bottom w:val="single" w:sz="4" w:space="0" w:color="auto"/>
              <w:right w:val="single" w:sz="8" w:space="0" w:color="FFFFFF"/>
            </w:tcBorders>
            <w:shd w:val="clear" w:color="000000" w:fill="E2EFDA"/>
            <w:vAlign w:val="center"/>
            <w:hideMark/>
          </w:tcPr>
          <w:p w:rsidR="008255D8" w:rsidRPr="008255D8" w:rsidRDefault="008255D8" w:rsidP="008255D8">
            <w:pPr>
              <w:spacing w:after="0" w:line="240" w:lineRule="auto"/>
              <w:jc w:val="center"/>
              <w:rPr>
                <w:rFonts w:eastAsia="Times New Roman" w:cstheme="minorHAnsi"/>
                <w:b/>
                <w:bCs/>
                <w:color w:val="3A3838"/>
                <w:sz w:val="16"/>
                <w:szCs w:val="16"/>
              </w:rPr>
            </w:pPr>
            <w:r w:rsidRPr="008255D8">
              <w:rPr>
                <w:rFonts w:eastAsia="Times New Roman" w:cstheme="minorHAnsi"/>
                <w:b/>
                <w:bCs/>
                <w:color w:val="3A3838"/>
                <w:sz w:val="16"/>
                <w:szCs w:val="16"/>
              </w:rPr>
              <w:t>Partner(s)</w:t>
            </w:r>
          </w:p>
        </w:tc>
        <w:tc>
          <w:tcPr>
            <w:tcW w:w="1171" w:type="dxa"/>
            <w:vMerge/>
            <w:tcBorders>
              <w:top w:val="single" w:sz="4" w:space="0" w:color="FFFFFF"/>
              <w:left w:val="single" w:sz="8" w:space="0" w:color="FFFFFF"/>
              <w:bottom w:val="nil"/>
              <w:right w:val="single" w:sz="8" w:space="0" w:color="FFFFFF"/>
            </w:tcBorders>
            <w:vAlign w:val="center"/>
            <w:hideMark/>
          </w:tcPr>
          <w:p w:rsidR="008255D8" w:rsidRPr="008255D8" w:rsidRDefault="008255D8" w:rsidP="008255D8">
            <w:pPr>
              <w:spacing w:after="0" w:line="240" w:lineRule="auto"/>
              <w:rPr>
                <w:rFonts w:eastAsia="Times New Roman" w:cstheme="minorHAnsi"/>
                <w:b/>
                <w:bCs/>
                <w:sz w:val="16"/>
                <w:szCs w:val="16"/>
              </w:rPr>
            </w:pPr>
          </w:p>
        </w:tc>
        <w:tc>
          <w:tcPr>
            <w:tcW w:w="1743" w:type="dxa"/>
            <w:vMerge/>
            <w:tcBorders>
              <w:left w:val="single" w:sz="8" w:space="0" w:color="FFFFFF"/>
              <w:bottom w:val="nil"/>
              <w:right w:val="single" w:sz="8" w:space="0" w:color="FFFFFF"/>
            </w:tcBorders>
          </w:tcPr>
          <w:p w:rsidR="008255D8" w:rsidRPr="008255D8" w:rsidRDefault="008255D8" w:rsidP="008255D8">
            <w:pPr>
              <w:spacing w:after="0" w:line="240" w:lineRule="auto"/>
              <w:rPr>
                <w:rFonts w:eastAsia="Times New Roman" w:cstheme="minorHAnsi"/>
                <w:b/>
                <w:bCs/>
                <w:sz w:val="16"/>
                <w:szCs w:val="16"/>
              </w:rPr>
            </w:pPr>
          </w:p>
        </w:tc>
      </w:tr>
      <w:tr w:rsidR="008255D8" w:rsidRPr="008255D8" w:rsidTr="001D170A">
        <w:trPr>
          <w:trHeight w:val="2195"/>
        </w:trPr>
        <w:tc>
          <w:tcPr>
            <w:tcW w:w="2015" w:type="dxa"/>
            <w:tcBorders>
              <w:top w:val="single" w:sz="4" w:space="0" w:color="auto"/>
              <w:left w:val="single" w:sz="4" w:space="0" w:color="auto"/>
              <w:bottom w:val="single" w:sz="4" w:space="0" w:color="auto"/>
              <w:right w:val="single" w:sz="4" w:space="0" w:color="auto"/>
            </w:tcBorders>
            <w:shd w:val="clear" w:color="auto" w:fill="auto"/>
            <w:hideMark/>
          </w:tcPr>
          <w:p w:rsidR="008255D8" w:rsidRPr="008255D8" w:rsidRDefault="008255D8" w:rsidP="00F105E6">
            <w:pPr>
              <w:spacing w:after="0" w:line="240" w:lineRule="auto"/>
              <w:jc w:val="both"/>
              <w:rPr>
                <w:rFonts w:eastAsia="Times New Roman" w:cstheme="minorHAnsi"/>
                <w:color w:val="000000"/>
                <w:sz w:val="16"/>
                <w:szCs w:val="16"/>
              </w:rPr>
            </w:pPr>
            <w:r w:rsidRPr="008255D8">
              <w:rPr>
                <w:rFonts w:eastAsia="Times New Roman" w:cstheme="minorHAnsi"/>
                <w:color w:val="000000"/>
                <w:sz w:val="16"/>
                <w:szCs w:val="16"/>
              </w:rPr>
              <w:t>Directive 2000/9/EC of the European Parliament and of the Council of 20 March 2000 relating to cableway installations designed to carry persons</w:t>
            </w:r>
          </w:p>
        </w:tc>
        <w:tc>
          <w:tcPr>
            <w:tcW w:w="1186" w:type="dxa"/>
            <w:tcBorders>
              <w:top w:val="single" w:sz="4" w:space="0" w:color="auto"/>
              <w:left w:val="nil"/>
              <w:bottom w:val="single" w:sz="4" w:space="0" w:color="auto"/>
              <w:right w:val="nil"/>
            </w:tcBorders>
            <w:shd w:val="clear" w:color="auto" w:fill="auto"/>
            <w:noWrap/>
            <w:vAlign w:val="bottom"/>
            <w:hideMark/>
          </w:tcPr>
          <w:p w:rsidR="008255D8" w:rsidRPr="008255D8" w:rsidRDefault="008255D8" w:rsidP="008255D8">
            <w:pPr>
              <w:spacing w:after="0" w:line="240" w:lineRule="auto"/>
              <w:rPr>
                <w:rFonts w:eastAsia="Times New Roman" w:cstheme="minorHAnsi"/>
                <w:sz w:val="16"/>
                <w:szCs w:val="16"/>
              </w:rPr>
            </w:pPr>
            <w:r w:rsidRPr="008255D8">
              <w:rPr>
                <w:rFonts w:eastAsia="Times New Roman" w:cstheme="minorHAnsi"/>
                <w:sz w:val="16"/>
                <w:szCs w:val="16"/>
              </w:rPr>
              <w:t> </w:t>
            </w:r>
            <w:r w:rsidR="00525EBB" w:rsidRPr="008255D8">
              <w:rPr>
                <w:rFonts w:eastAsia="Times New Roman" w:cstheme="minorHAnsi"/>
                <w:color w:val="000000"/>
                <w:sz w:val="16"/>
                <w:szCs w:val="16"/>
              </w:rPr>
              <w:t>Regulation (EU) 2016/424 of the European Parliament and of the Council of 9 March 2016 on cableway installations and repealing Directive 2000/9/EC)</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5D8" w:rsidRPr="008255D8" w:rsidRDefault="00525EBB" w:rsidP="00BD158D">
            <w:pPr>
              <w:spacing w:after="0" w:line="240" w:lineRule="auto"/>
              <w:jc w:val="center"/>
              <w:rPr>
                <w:rFonts w:eastAsia="Times New Roman" w:cstheme="minorHAnsi"/>
                <w:color w:val="000000"/>
                <w:sz w:val="16"/>
                <w:szCs w:val="16"/>
              </w:rPr>
            </w:pPr>
            <w:r w:rsidRPr="008255D8">
              <w:rPr>
                <w:rFonts w:eastAsia="Times New Roman" w:cstheme="minorHAnsi"/>
                <w:color w:val="000000"/>
                <w:sz w:val="16"/>
                <w:szCs w:val="16"/>
              </w:rPr>
              <w:t>2019</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525EBB" w:rsidP="00BD158D">
            <w:pPr>
              <w:spacing w:after="0" w:line="240" w:lineRule="auto"/>
              <w:jc w:val="center"/>
              <w:rPr>
                <w:rFonts w:eastAsia="Times New Roman" w:cstheme="minorHAnsi"/>
                <w:color w:val="000000"/>
                <w:sz w:val="16"/>
                <w:szCs w:val="16"/>
              </w:rPr>
            </w:pPr>
            <w:r>
              <w:rPr>
                <w:rFonts w:eastAsia="Times New Roman" w:cstheme="minorHAnsi"/>
                <w:color w:val="000000"/>
                <w:sz w:val="16"/>
                <w:szCs w:val="16"/>
              </w:rPr>
              <w:t>NO</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8255D8" w:rsidP="00BD158D">
            <w:pPr>
              <w:spacing w:after="0" w:line="240" w:lineRule="auto"/>
              <w:jc w:val="center"/>
              <w:rPr>
                <w:rFonts w:eastAsia="Times New Roman" w:cstheme="minorHAnsi"/>
                <w:color w:val="000000"/>
                <w:sz w:val="16"/>
                <w:szCs w:val="16"/>
              </w:rPr>
            </w:pP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8255D8" w:rsidP="00F105E6">
            <w:pPr>
              <w:spacing w:after="0" w:line="240" w:lineRule="auto"/>
              <w:jc w:val="center"/>
              <w:rPr>
                <w:rFonts w:eastAsia="Times New Roman" w:cstheme="minorHAnsi"/>
                <w:color w:val="000000"/>
                <w:sz w:val="16"/>
                <w:szCs w:val="16"/>
              </w:rPr>
            </w:pPr>
          </w:p>
        </w:tc>
        <w:tc>
          <w:tcPr>
            <w:tcW w:w="1488" w:type="dxa"/>
            <w:tcBorders>
              <w:top w:val="single" w:sz="4" w:space="0" w:color="auto"/>
              <w:left w:val="nil"/>
              <w:bottom w:val="single" w:sz="4" w:space="0" w:color="auto"/>
              <w:right w:val="single" w:sz="4" w:space="0" w:color="auto"/>
            </w:tcBorders>
            <w:shd w:val="clear" w:color="auto" w:fill="auto"/>
            <w:hideMark/>
          </w:tcPr>
          <w:p w:rsidR="008255D8" w:rsidRPr="008255D8" w:rsidRDefault="008255D8" w:rsidP="00BD158D">
            <w:pPr>
              <w:spacing w:after="0" w:line="240" w:lineRule="auto"/>
              <w:jc w:val="center"/>
              <w:rPr>
                <w:rFonts w:eastAsia="Times New Roman" w:cstheme="minorHAnsi"/>
                <w:color w:val="000000"/>
                <w:sz w:val="16"/>
                <w:szCs w:val="16"/>
              </w:rPr>
            </w:pP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8255D8" w:rsidRPr="008255D8" w:rsidRDefault="008255D8" w:rsidP="008255D8">
            <w:pPr>
              <w:spacing w:after="0" w:line="240" w:lineRule="auto"/>
              <w:rPr>
                <w:rFonts w:eastAsia="Times New Roman" w:cstheme="minorHAnsi"/>
                <w:sz w:val="16"/>
                <w:szCs w:val="16"/>
              </w:rPr>
            </w:pPr>
            <w:r w:rsidRPr="008255D8">
              <w:rPr>
                <w:rFonts w:eastAsia="Times New Roman" w:cstheme="minorHAnsi"/>
                <w:sz w:val="16"/>
                <w:szCs w:val="16"/>
              </w:rPr>
              <w:t> </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BD158D" w:rsidP="00BD158D">
            <w:pPr>
              <w:spacing w:after="0" w:line="240" w:lineRule="auto"/>
              <w:jc w:val="center"/>
              <w:rPr>
                <w:rFonts w:eastAsia="Times New Roman" w:cstheme="minorHAnsi"/>
                <w:color w:val="000000"/>
                <w:sz w:val="16"/>
                <w:szCs w:val="16"/>
              </w:rPr>
            </w:pPr>
            <w:proofErr w:type="spellStart"/>
            <w:r w:rsidRPr="001A6D6E">
              <w:rPr>
                <w:rFonts w:eastAsia="Times New Roman" w:cstheme="minorHAnsi"/>
                <w:sz w:val="16"/>
                <w:szCs w:val="16"/>
                <w:lang w:val="en-GB"/>
              </w:rPr>
              <w:t>GeoSTM</w:t>
            </w:r>
            <w:proofErr w:type="spellEnd"/>
            <w:r w:rsidR="008255D8" w:rsidRPr="008255D8">
              <w:rPr>
                <w:rFonts w:eastAsia="Times New Roman" w:cstheme="minorHAnsi"/>
                <w:color w:val="000000"/>
                <w:sz w:val="16"/>
                <w:szCs w:val="16"/>
              </w:rPr>
              <w:br/>
            </w:r>
            <w:r w:rsidR="008255D8" w:rsidRPr="008255D8">
              <w:rPr>
                <w:rFonts w:eastAsia="Times New Roman" w:cstheme="minorHAnsi"/>
                <w:color w:val="000000"/>
                <w:sz w:val="16"/>
                <w:szCs w:val="16"/>
              </w:rPr>
              <w:br/>
              <w:t>﻿</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525EBB" w:rsidP="00BD158D">
            <w:pPr>
              <w:spacing w:after="0" w:line="240" w:lineRule="auto"/>
              <w:jc w:val="center"/>
              <w:rPr>
                <w:rFonts w:eastAsia="Times New Roman" w:cstheme="minorHAnsi"/>
                <w:color w:val="000000"/>
                <w:sz w:val="16"/>
                <w:szCs w:val="16"/>
              </w:rPr>
            </w:pPr>
            <w:r w:rsidRPr="008255D8">
              <w:rPr>
                <w:rFonts w:eastAsia="Times New Roman" w:cstheme="minorHAnsi"/>
                <w:color w:val="000000"/>
                <w:sz w:val="16"/>
                <w:szCs w:val="16"/>
              </w:rPr>
              <w:t>Ministry of Econom</w:t>
            </w:r>
            <w:r>
              <w:rPr>
                <w:rFonts w:eastAsia="Times New Roman" w:cstheme="minorHAnsi"/>
                <w:color w:val="000000"/>
                <w:sz w:val="16"/>
                <w:szCs w:val="16"/>
              </w:rPr>
              <w:t>y</w:t>
            </w:r>
            <w:r w:rsidRPr="008255D8">
              <w:rPr>
                <w:rFonts w:eastAsia="Times New Roman" w:cstheme="minorHAnsi"/>
                <w:color w:val="000000"/>
                <w:sz w:val="16"/>
                <w:szCs w:val="16"/>
              </w:rPr>
              <w:t xml:space="preserve"> and Sustainable Development;  Georgian National accreditation body – Accreditation Center (GAC)</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8255D8" w:rsidRPr="008255D8" w:rsidRDefault="008255D8" w:rsidP="008255D8">
            <w:pPr>
              <w:spacing w:after="0" w:line="240" w:lineRule="auto"/>
              <w:rPr>
                <w:rFonts w:eastAsia="Times New Roman" w:cstheme="minorHAnsi"/>
                <w:color w:val="000000"/>
                <w:sz w:val="16"/>
                <w:szCs w:val="16"/>
              </w:rPr>
            </w:pPr>
            <w:r w:rsidRPr="008255D8">
              <w:rPr>
                <w:rFonts w:eastAsia="Times New Roman" w:cstheme="minorHAnsi"/>
                <w:color w:val="000000"/>
                <w:sz w:val="16"/>
                <w:szCs w:val="16"/>
              </w:rPr>
              <w:t> </w:t>
            </w:r>
          </w:p>
        </w:tc>
        <w:tc>
          <w:tcPr>
            <w:tcW w:w="1743" w:type="dxa"/>
            <w:tcBorders>
              <w:top w:val="single" w:sz="4" w:space="0" w:color="auto"/>
              <w:left w:val="nil"/>
              <w:bottom w:val="single" w:sz="4" w:space="0" w:color="auto"/>
              <w:right w:val="single" w:sz="4" w:space="0" w:color="auto"/>
            </w:tcBorders>
            <w:shd w:val="clear" w:color="auto" w:fill="auto"/>
          </w:tcPr>
          <w:p w:rsidR="008255D8" w:rsidRPr="008255D8" w:rsidRDefault="008255D8" w:rsidP="008255D8">
            <w:pPr>
              <w:spacing w:after="0" w:line="240" w:lineRule="auto"/>
              <w:rPr>
                <w:rFonts w:eastAsia="Times New Roman" w:cstheme="minorHAnsi"/>
                <w:color w:val="000000"/>
                <w:sz w:val="16"/>
                <w:szCs w:val="16"/>
              </w:rPr>
            </w:pPr>
          </w:p>
        </w:tc>
      </w:tr>
      <w:tr w:rsidR="007309A9" w:rsidRPr="008255D8"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tcPr>
          <w:p w:rsidR="007309A9" w:rsidRPr="00CB3AC6" w:rsidRDefault="007309A9" w:rsidP="00BD158D">
            <w:pPr>
              <w:spacing w:after="0" w:line="240" w:lineRule="auto"/>
              <w:jc w:val="both"/>
              <w:rPr>
                <w:rFonts w:eastAsia="Times New Roman" w:cstheme="minorHAnsi"/>
                <w:color w:val="000000"/>
                <w:sz w:val="16"/>
                <w:szCs w:val="16"/>
              </w:rPr>
            </w:pPr>
            <w:r w:rsidRPr="00CB3AC6">
              <w:rPr>
                <w:rFonts w:eastAsia="Times New Roman" w:cstheme="minorHAnsi"/>
                <w:color w:val="000000"/>
                <w:sz w:val="16"/>
                <w:szCs w:val="16"/>
              </w:rPr>
              <w:t xml:space="preserve">Directive 2014/30/EU of the European Parliament and of the Council of 26 February 2014 on the </w:t>
            </w:r>
            <w:proofErr w:type="spellStart"/>
            <w:r w:rsidRPr="00CB3AC6">
              <w:rPr>
                <w:rFonts w:eastAsia="Times New Roman" w:cstheme="minorHAnsi"/>
                <w:color w:val="000000"/>
                <w:sz w:val="16"/>
                <w:szCs w:val="16"/>
              </w:rPr>
              <w:t>harmonisation</w:t>
            </w:r>
            <w:proofErr w:type="spellEnd"/>
            <w:r w:rsidRPr="00CB3AC6">
              <w:rPr>
                <w:rFonts w:eastAsia="Times New Roman" w:cstheme="minorHAnsi"/>
                <w:color w:val="000000"/>
                <w:sz w:val="16"/>
                <w:szCs w:val="16"/>
              </w:rPr>
              <w:t xml:space="preserve"> of the laws of the Member States relating to electromagnetic compatibility</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7309A9" w:rsidRPr="00CB3AC6" w:rsidRDefault="007309A9" w:rsidP="007309A9">
            <w:pPr>
              <w:spacing w:after="0" w:line="240" w:lineRule="auto"/>
              <w:rPr>
                <w:rFonts w:eastAsia="Times New Roman" w:cstheme="minorHAnsi"/>
                <w:sz w:val="16"/>
                <w:szCs w:val="16"/>
              </w:rPr>
            </w:pPr>
            <w:r w:rsidRPr="00CB3AC6">
              <w:rPr>
                <w:rFonts w:eastAsia="Times New Roman" w:cstheme="minorHAnsi"/>
                <w:sz w:val="16"/>
                <w:szCs w:val="16"/>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CB3AC6" w:rsidRDefault="007309A9" w:rsidP="00BD158D">
            <w:pPr>
              <w:spacing w:after="0" w:line="240" w:lineRule="auto"/>
              <w:jc w:val="center"/>
              <w:rPr>
                <w:rFonts w:eastAsia="Times New Roman" w:cstheme="minorHAnsi"/>
                <w:color w:val="000000"/>
                <w:sz w:val="16"/>
                <w:szCs w:val="16"/>
              </w:rPr>
            </w:pPr>
            <w:r w:rsidRPr="00CB3AC6">
              <w:rPr>
                <w:rFonts w:eastAsia="Times New Roman" w:cstheme="minorHAnsi"/>
                <w:color w:val="000000"/>
                <w:sz w:val="16"/>
                <w:szCs w:val="16"/>
              </w:rPr>
              <w:t>2022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Default="007309A9" w:rsidP="00BD158D">
            <w:pPr>
              <w:spacing w:after="0" w:line="240" w:lineRule="auto"/>
              <w:jc w:val="center"/>
              <w:rPr>
                <w:rFonts w:eastAsia="Times New Roman" w:cstheme="minorHAnsi"/>
                <w:color w:val="000000"/>
                <w:sz w:val="16"/>
                <w:szCs w:val="16"/>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8255D8" w:rsidRDefault="007309A9" w:rsidP="00BD158D">
            <w:pPr>
              <w:spacing w:after="0" w:line="240" w:lineRule="auto"/>
              <w:jc w:val="center"/>
              <w:rPr>
                <w:rFonts w:eastAsia="Times New Roman" w:cstheme="minorHAnsi"/>
                <w:color w:val="000000"/>
                <w:sz w:val="16"/>
                <w:szCs w:val="16"/>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8255D8" w:rsidRDefault="007309A9" w:rsidP="007309A9">
            <w:pPr>
              <w:spacing w:after="0" w:line="240" w:lineRule="auto"/>
              <w:jc w:val="center"/>
              <w:rPr>
                <w:rFonts w:eastAsia="Times New Roman" w:cstheme="minorHAnsi"/>
                <w:color w:val="000000"/>
                <w:sz w:val="16"/>
                <w:szCs w:val="16"/>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7309A9" w:rsidRPr="008255D8" w:rsidRDefault="007309A9" w:rsidP="00BD158D">
            <w:pPr>
              <w:spacing w:after="0" w:line="240" w:lineRule="auto"/>
              <w:jc w:val="both"/>
              <w:rPr>
                <w:rFonts w:eastAsia="Times New Roman" w:cstheme="minorHAnsi"/>
                <w:color w:val="000000"/>
                <w:sz w:val="16"/>
                <w:szCs w:val="16"/>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9A9" w:rsidRPr="008255D8" w:rsidRDefault="007309A9" w:rsidP="007309A9">
            <w:pPr>
              <w:spacing w:after="0" w:line="240" w:lineRule="auto"/>
              <w:rPr>
                <w:rFonts w:eastAsia="Times New Roman" w:cstheme="minorHAnsi"/>
                <w:sz w:val="16"/>
                <w:szCs w:val="16"/>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8255D8" w:rsidRDefault="00BD158D" w:rsidP="00BD158D">
            <w:pPr>
              <w:spacing w:after="0" w:line="240" w:lineRule="auto"/>
              <w:jc w:val="center"/>
              <w:rPr>
                <w:rFonts w:eastAsia="Times New Roman" w:cstheme="minorHAnsi"/>
                <w:color w:val="000000"/>
                <w:sz w:val="16"/>
                <w:szCs w:val="16"/>
              </w:rPr>
            </w:pPr>
            <w:proofErr w:type="spellStart"/>
            <w:r w:rsidRPr="001A6D6E">
              <w:rPr>
                <w:rFonts w:eastAsia="Times New Roman" w:cstheme="minorHAnsi"/>
                <w:sz w:val="16"/>
                <w:szCs w:val="16"/>
                <w:lang w:val="en-GB"/>
              </w:rPr>
              <w:t>GeoSTM</w:t>
            </w:r>
            <w:proofErr w:type="spellEnd"/>
            <w:r w:rsidR="007309A9" w:rsidRPr="008255D8">
              <w:rPr>
                <w:rFonts w:eastAsia="Times New Roman" w:cstheme="minorHAnsi"/>
                <w:color w:val="000000"/>
                <w:sz w:val="16"/>
                <w:szCs w:val="16"/>
              </w:rPr>
              <w:br/>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8255D8" w:rsidRDefault="00173B39" w:rsidP="00BD158D">
            <w:pPr>
              <w:spacing w:after="0" w:line="240" w:lineRule="auto"/>
              <w:jc w:val="center"/>
              <w:rPr>
                <w:rFonts w:eastAsia="Times New Roman" w:cstheme="minorHAnsi"/>
                <w:color w:val="000000"/>
                <w:sz w:val="16"/>
                <w:szCs w:val="16"/>
              </w:rPr>
            </w:pPr>
            <w:r w:rsidRPr="008255D8">
              <w:rPr>
                <w:rFonts w:eastAsia="Times New Roman" w:cstheme="minorHAnsi"/>
                <w:color w:val="000000"/>
                <w:sz w:val="16"/>
                <w:szCs w:val="16"/>
              </w:rPr>
              <w:t>Ministry of Econom</w:t>
            </w:r>
            <w:r>
              <w:rPr>
                <w:rFonts w:eastAsia="Times New Roman" w:cstheme="minorHAnsi"/>
                <w:color w:val="000000"/>
                <w:sz w:val="16"/>
                <w:szCs w:val="16"/>
              </w:rPr>
              <w:t>y</w:t>
            </w:r>
            <w:r w:rsidRPr="008255D8">
              <w:rPr>
                <w:rFonts w:eastAsia="Times New Roman" w:cstheme="minorHAnsi"/>
                <w:color w:val="000000"/>
                <w:sz w:val="16"/>
                <w:szCs w:val="16"/>
              </w:rPr>
              <w:t xml:space="preserve"> and Sustainable Development;  Georgian National accreditation body – Accreditation Center (GAC)</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7309A9" w:rsidRPr="008255D8" w:rsidRDefault="007309A9" w:rsidP="007309A9">
            <w:pPr>
              <w:spacing w:after="0" w:line="240" w:lineRule="auto"/>
              <w:rPr>
                <w:rFonts w:eastAsia="Times New Roman" w:cstheme="minorHAnsi"/>
                <w:color w:val="000000"/>
                <w:sz w:val="16"/>
                <w:szCs w:val="16"/>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7309A9" w:rsidRPr="008255D8" w:rsidRDefault="007309A9" w:rsidP="007309A9">
            <w:pPr>
              <w:spacing w:after="0" w:line="240" w:lineRule="auto"/>
              <w:rPr>
                <w:rFonts w:eastAsia="Times New Roman" w:cstheme="minorHAnsi"/>
                <w:color w:val="000000"/>
                <w:sz w:val="16"/>
                <w:szCs w:val="16"/>
              </w:rPr>
            </w:pPr>
          </w:p>
        </w:tc>
      </w:tr>
      <w:tr w:rsidR="00BD158D" w:rsidRPr="00BD158D" w:rsidTr="001D170A">
        <w:trPr>
          <w:trHeight w:val="440"/>
        </w:trPr>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Directive 2014/35/EU of the European Parliament and of the Council of 26 February 2014 on the harmonisation of the laws of the Member States relating to the making available on the market of electrical equipment designed for use within certain voltage limits</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184030" w:rsidRPr="00BD158D" w:rsidRDefault="00184030" w:rsidP="00184030">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2022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jc w:val="center"/>
              <w:rPr>
                <w:rFonts w:eastAsia="Times New Roman" w:cstheme="minorHAnsi"/>
                <w:color w:val="000000"/>
                <w:sz w:val="16"/>
                <w:szCs w:val="16"/>
                <w:lang w:val="en-GB"/>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84030" w:rsidRPr="00BD158D" w:rsidRDefault="00184030" w:rsidP="00BD158D">
            <w:pPr>
              <w:spacing w:after="0" w:line="240" w:lineRule="auto"/>
              <w:jc w:val="both"/>
              <w:rPr>
                <w:rFonts w:eastAsia="Times New Roman" w:cstheme="minorHAnsi"/>
                <w:color w:val="000000"/>
                <w:sz w:val="16"/>
                <w:szCs w:val="16"/>
                <w:lang w:val="en-GB"/>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030" w:rsidRPr="00BD158D" w:rsidRDefault="00184030" w:rsidP="00184030">
            <w:pPr>
              <w:spacing w:after="0" w:line="240" w:lineRule="auto"/>
              <w:rPr>
                <w:rFonts w:eastAsia="Times New Roman" w:cstheme="minorHAnsi"/>
                <w:sz w:val="16"/>
                <w:szCs w:val="16"/>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br/>
            </w:r>
            <w:proofErr w:type="spellStart"/>
            <w:r w:rsidR="00BD158D" w:rsidRPr="001A6D6E">
              <w:rPr>
                <w:rFonts w:eastAsia="Times New Roman" w:cstheme="minorHAnsi"/>
                <w:sz w:val="16"/>
                <w:szCs w:val="16"/>
                <w:lang w:val="en-GB"/>
              </w:rPr>
              <w:t>GeoSTM</w:t>
            </w:r>
            <w:proofErr w:type="spellEnd"/>
            <w:r w:rsidRPr="00BD158D">
              <w:rPr>
                <w:rFonts w:eastAsia="Times New Roman" w:cstheme="minorHAnsi"/>
                <w:color w:val="000000"/>
                <w:sz w:val="16"/>
                <w:szCs w:val="16"/>
                <w:lang w:val="en-GB"/>
              </w:rPr>
              <w:br/>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rPr>
                <w:rFonts w:eastAsia="Times New Roman" w:cstheme="minorHAnsi"/>
                <w:color w:val="000000"/>
                <w:sz w:val="16"/>
                <w:szCs w:val="16"/>
                <w:lang w:val="en-GB"/>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184030" w:rsidRPr="00BD158D" w:rsidRDefault="00184030" w:rsidP="00184030">
            <w:pPr>
              <w:spacing w:after="0" w:line="240" w:lineRule="auto"/>
              <w:rPr>
                <w:rFonts w:eastAsia="Times New Roman" w:cstheme="minorHAnsi"/>
                <w:color w:val="000000"/>
                <w:sz w:val="16"/>
                <w:szCs w:val="16"/>
                <w:lang w:val="en-GB"/>
              </w:rPr>
            </w:pPr>
          </w:p>
        </w:tc>
      </w:tr>
      <w:tr w:rsidR="00BD158D" w:rsidRPr="00BD158D"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 xml:space="preserve">Regulation (EU) 2017/745 of the European Parliament and of the Council of 5 April 2017 on medical devices, amending Directive 2001/83/EC, Regulation (EC) No 178/2002 and Regulation (EC) No 1223/2009 and repealing </w:t>
            </w:r>
            <w:r w:rsidRPr="00BD158D">
              <w:rPr>
                <w:rFonts w:eastAsia="Times New Roman" w:cstheme="minorHAnsi"/>
                <w:color w:val="000000"/>
                <w:sz w:val="16"/>
                <w:szCs w:val="16"/>
                <w:lang w:val="en-GB"/>
              </w:rPr>
              <w:lastRenderedPageBreak/>
              <w:t>Council Directives 90/385/EEC and 93/42/EEC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184030" w:rsidRPr="00BD158D" w:rsidRDefault="00184030" w:rsidP="00184030">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lastRenderedPageBreak/>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2022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jc w:val="center"/>
              <w:rPr>
                <w:rFonts w:eastAsia="Times New Roman" w:cstheme="minorHAnsi"/>
                <w:color w:val="000000"/>
                <w:sz w:val="16"/>
                <w:szCs w:val="16"/>
                <w:lang w:val="en-GB"/>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84030" w:rsidRPr="00BD158D" w:rsidRDefault="00184030" w:rsidP="00184030">
            <w:pPr>
              <w:spacing w:after="0" w:line="240" w:lineRule="auto"/>
              <w:jc w:val="center"/>
              <w:rPr>
                <w:rFonts w:eastAsia="Times New Roman" w:cstheme="minorHAnsi"/>
                <w:color w:val="000000"/>
                <w:sz w:val="16"/>
                <w:szCs w:val="16"/>
                <w:lang w:val="en-GB"/>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030" w:rsidRPr="00BD158D" w:rsidRDefault="00184030" w:rsidP="00184030">
            <w:pPr>
              <w:spacing w:after="0" w:line="240" w:lineRule="auto"/>
              <w:rPr>
                <w:rFonts w:eastAsia="Times New Roman" w:cstheme="minorHAnsi"/>
                <w:sz w:val="16"/>
                <w:szCs w:val="16"/>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BD158D" w:rsidP="00BD158D">
            <w:pPr>
              <w:spacing w:after="0" w:line="240" w:lineRule="auto"/>
              <w:jc w:val="center"/>
              <w:rPr>
                <w:rFonts w:eastAsia="Times New Roman" w:cstheme="minorHAnsi"/>
                <w:color w:val="000000"/>
                <w:sz w:val="16"/>
                <w:szCs w:val="16"/>
                <w:lang w:val="en-GB"/>
              </w:rPr>
            </w:pPr>
            <w:proofErr w:type="spellStart"/>
            <w:r w:rsidRPr="001A6D6E">
              <w:rPr>
                <w:rFonts w:eastAsia="Times New Roman" w:cstheme="minorHAnsi"/>
                <w:sz w:val="16"/>
                <w:szCs w:val="16"/>
                <w:lang w:val="en-GB"/>
              </w:rPr>
              <w:t>GeoSTM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BD158D">
            <w:pPr>
              <w:spacing w:after="0" w:line="240" w:lineRule="auto"/>
              <w:jc w:val="center"/>
              <w:rPr>
                <w:rFonts w:eastAsia="Times New Roman" w:cstheme="minorHAnsi"/>
                <w:color w:val="000000"/>
                <w:sz w:val="16"/>
                <w:szCs w:val="16"/>
                <w:lang w:val="en-GB"/>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184030" w:rsidRPr="00BD158D" w:rsidRDefault="00184030" w:rsidP="00184030">
            <w:pPr>
              <w:spacing w:after="0" w:line="240" w:lineRule="auto"/>
              <w:rPr>
                <w:rFonts w:eastAsia="Times New Roman" w:cstheme="minorHAnsi"/>
                <w:color w:val="000000"/>
                <w:sz w:val="16"/>
                <w:szCs w:val="16"/>
                <w:lang w:val="en-GB"/>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184030" w:rsidRPr="00BD158D" w:rsidRDefault="00184030" w:rsidP="00184030">
            <w:pPr>
              <w:spacing w:after="0" w:line="240" w:lineRule="auto"/>
              <w:rPr>
                <w:rFonts w:eastAsia="Times New Roman" w:cstheme="minorHAnsi"/>
                <w:color w:val="000000"/>
                <w:sz w:val="16"/>
                <w:szCs w:val="16"/>
                <w:lang w:val="en-GB"/>
              </w:rPr>
            </w:pPr>
          </w:p>
        </w:tc>
      </w:tr>
      <w:tr w:rsidR="00BD158D" w:rsidRPr="00BD158D"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D158D">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Directive 2014/32/EU of the European Parliament and of the Council of 26 February 2014 on the harmonisation of the laws of the Member States relating to the making available on the market of measuring instruments</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BB7FD6" w:rsidRPr="00BD158D" w:rsidRDefault="00BB7FD6" w:rsidP="00BB7FD6">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2022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D158D">
            <w:pPr>
              <w:spacing w:after="0" w:line="240" w:lineRule="auto"/>
              <w:ind w:left="336" w:hanging="342"/>
              <w:jc w:val="center"/>
              <w:rPr>
                <w:rFonts w:eastAsia="Times New Roman" w:cstheme="minorHAnsi"/>
                <w:sz w:val="16"/>
                <w:szCs w:val="16"/>
                <w:lang w:val="en-G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D158D">
            <w:pPr>
              <w:spacing w:after="0" w:line="240" w:lineRule="auto"/>
              <w:ind w:left="162" w:hanging="90"/>
              <w:jc w:val="center"/>
              <w:rPr>
                <w:rFonts w:eastAsia="Times New Roman" w:cstheme="minorHAnsi"/>
                <w:sz w:val="16"/>
                <w:szCs w:val="16"/>
                <w:lang w:val="en-GB"/>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B7FD6">
            <w:pPr>
              <w:spacing w:after="0" w:line="240" w:lineRule="auto"/>
              <w:ind w:left="162" w:hanging="90"/>
              <w:jc w:val="center"/>
              <w:rPr>
                <w:rFonts w:eastAsia="Times New Roman" w:cstheme="minorHAnsi"/>
                <w:sz w:val="16"/>
                <w:szCs w:val="16"/>
                <w:lang w:val="en-GB"/>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B7FD6">
            <w:pPr>
              <w:spacing w:after="0" w:line="240" w:lineRule="auto"/>
              <w:ind w:left="360"/>
              <w:rPr>
                <w:rFonts w:eastAsia="Times New Roman" w:cstheme="minorHAnsi"/>
                <w:sz w:val="16"/>
                <w:szCs w:val="16"/>
                <w:lang w:val="en-GB"/>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7FD6" w:rsidRPr="00BD158D" w:rsidRDefault="00BB7FD6" w:rsidP="00BB7FD6">
            <w:pPr>
              <w:spacing w:after="0" w:line="240" w:lineRule="auto"/>
              <w:ind w:left="66"/>
              <w:rPr>
                <w:rFonts w:eastAsia="Times New Roman" w:cstheme="minorHAnsi"/>
                <w:sz w:val="16"/>
                <w:szCs w:val="16"/>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D158D" w:rsidP="00BD158D">
            <w:pPr>
              <w:spacing w:after="0" w:line="240" w:lineRule="auto"/>
              <w:ind w:left="66"/>
              <w:jc w:val="center"/>
              <w:rPr>
                <w:rFonts w:eastAsia="Times New Roman" w:cstheme="minorHAnsi"/>
                <w:color w:val="000000"/>
                <w:sz w:val="16"/>
                <w:szCs w:val="16"/>
                <w:lang w:val="en-GB"/>
              </w:rPr>
            </w:pPr>
            <w:proofErr w:type="spellStart"/>
            <w:r w:rsidRPr="001A6D6E">
              <w:rPr>
                <w:rFonts w:eastAsia="Times New Roman" w:cstheme="minorHAnsi"/>
                <w:sz w:val="16"/>
                <w:szCs w:val="16"/>
                <w:lang w:val="en-GB"/>
              </w:rPr>
              <w:t>GeoSTM</w:t>
            </w:r>
            <w:proofErr w:type="spellEnd"/>
            <w:r w:rsidR="00BB7FD6" w:rsidRPr="00BD158D">
              <w:rPr>
                <w:rFonts w:eastAsia="Times New Roman" w:cstheme="minorHAnsi"/>
                <w:color w:val="000000"/>
                <w:sz w:val="16"/>
                <w:szCs w:val="16"/>
                <w:lang w:val="en-GB"/>
              </w:rPr>
              <w:br/>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BB7FD6" w:rsidRPr="00BD158D" w:rsidRDefault="00BB7FD6" w:rsidP="00BD158D">
            <w:pPr>
              <w:spacing w:after="0" w:line="240" w:lineRule="auto"/>
              <w:ind w:left="66"/>
              <w:jc w:val="center"/>
              <w:rPr>
                <w:rFonts w:eastAsia="Times New Roman" w:cstheme="minorHAnsi"/>
                <w:sz w:val="16"/>
                <w:szCs w:val="16"/>
                <w:lang w:val="en-GB"/>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BB7FD6" w:rsidRPr="00BD158D" w:rsidRDefault="00BB7FD6" w:rsidP="00BB7FD6">
            <w:pPr>
              <w:spacing w:after="0" w:line="240" w:lineRule="auto"/>
              <w:ind w:left="66"/>
              <w:rPr>
                <w:rFonts w:eastAsia="Times New Roman" w:cstheme="minorHAnsi"/>
                <w:sz w:val="16"/>
                <w:szCs w:val="16"/>
                <w:lang w:val="en-GB"/>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BB7FD6" w:rsidRPr="00BD158D" w:rsidRDefault="00BB7FD6" w:rsidP="00BB7FD6">
            <w:pPr>
              <w:spacing w:after="0" w:line="240" w:lineRule="auto"/>
              <w:ind w:left="66"/>
              <w:rPr>
                <w:rFonts w:eastAsia="Times New Roman" w:cstheme="minorHAnsi"/>
                <w:sz w:val="16"/>
                <w:szCs w:val="16"/>
                <w:lang w:val="en-GB"/>
              </w:rPr>
            </w:pPr>
          </w:p>
        </w:tc>
      </w:tr>
      <w:tr w:rsidR="00BB7FD6" w:rsidRPr="00BD158D"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hideMark/>
          </w:tcPr>
          <w:p w:rsidR="00BB7FD6" w:rsidRPr="00BD158D" w:rsidRDefault="00BB7FD6" w:rsidP="00BB7FD6">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European Parliament and Council Directive 95/16/EC of 29 June 1995 on the approximation of the laws of the Member States relating to lifts</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EBB" w:rsidRPr="004265F5" w:rsidRDefault="00BB7FD6" w:rsidP="00525EBB">
            <w:pPr>
              <w:spacing w:after="0" w:line="240" w:lineRule="auto"/>
              <w:rPr>
                <w:rFonts w:eastAsia="Times New Roman" w:cstheme="minorHAnsi"/>
                <w:color w:val="000000"/>
                <w:sz w:val="16"/>
                <w:szCs w:val="16"/>
                <w:lang w:val="en-GB"/>
              </w:rPr>
            </w:pPr>
            <w:r w:rsidRPr="00BD158D">
              <w:rPr>
                <w:rFonts w:eastAsia="Times New Roman" w:cstheme="minorHAnsi"/>
                <w:color w:val="000000"/>
                <w:sz w:val="16"/>
                <w:szCs w:val="16"/>
                <w:lang w:val="en-GB"/>
              </w:rPr>
              <w:t> </w:t>
            </w:r>
            <w:r w:rsidR="00525EBB" w:rsidRPr="004265F5">
              <w:rPr>
                <w:rFonts w:eastAsia="Times New Roman" w:cstheme="minorHAnsi"/>
                <w:color w:val="000000"/>
                <w:sz w:val="16"/>
                <w:szCs w:val="16"/>
                <w:lang w:val="en-GB"/>
              </w:rPr>
              <w:t>Directive 2006/42/EC of the European Parliament and of the Council of 17 May 2006 on machinery, and amending Directive 95/16/EC</w:t>
            </w:r>
          </w:p>
          <w:p w:rsidR="00BB7FD6" w:rsidRPr="00BD158D" w:rsidRDefault="00BB7FD6" w:rsidP="00BB7FD6">
            <w:pPr>
              <w:spacing w:after="0" w:line="240" w:lineRule="auto"/>
              <w:rPr>
                <w:rFonts w:eastAsia="Times New Roman" w:cstheme="minorHAnsi"/>
                <w:color w:val="000000"/>
                <w:sz w:val="16"/>
                <w:szCs w:val="16"/>
                <w:lang w:val="en-GB"/>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1D170A" w:rsidRDefault="00525EBB" w:rsidP="00BD158D">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2019</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1D170A" w:rsidRDefault="00525EBB" w:rsidP="00BD158D">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BD158D" w:rsidRDefault="00BB7FD6"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2011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BD158D" w:rsidRDefault="00BB7FD6" w:rsidP="00BB7FD6">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2012</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B7FD6" w:rsidRPr="00BD158D" w:rsidRDefault="00BB7FD6"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Decree N 289 of the Government of Georgia of July 26, 2011 – “Technical regulation relating to safety of lift”</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FD6" w:rsidRPr="00BD158D" w:rsidRDefault="00BB7FD6" w:rsidP="00BB7FD6">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BD158D" w:rsidRDefault="00BD158D" w:rsidP="00BD158D">
            <w:pPr>
              <w:spacing w:after="0" w:line="240" w:lineRule="auto"/>
              <w:jc w:val="center"/>
              <w:rPr>
                <w:rFonts w:eastAsia="Times New Roman" w:cstheme="minorHAnsi"/>
                <w:color w:val="000000"/>
                <w:sz w:val="16"/>
                <w:szCs w:val="16"/>
                <w:lang w:val="en-GB"/>
              </w:rPr>
            </w:pPr>
            <w:proofErr w:type="spellStart"/>
            <w:r w:rsidRPr="001A6D6E">
              <w:rPr>
                <w:rFonts w:eastAsia="Times New Roman" w:cstheme="minorHAnsi"/>
                <w:sz w:val="16"/>
                <w:szCs w:val="16"/>
                <w:lang w:val="en-GB"/>
              </w:rPr>
              <w:t>GeoSTM</w:t>
            </w:r>
            <w:proofErr w:type="spellEnd"/>
            <w:r w:rsidR="00BB7FD6" w:rsidRPr="00BD158D">
              <w:rPr>
                <w:rFonts w:eastAsia="Times New Roman" w:cstheme="minorHAnsi"/>
                <w:color w:val="000000"/>
                <w:sz w:val="16"/>
                <w:szCs w:val="16"/>
                <w:lang w:val="en-GB"/>
              </w:rPr>
              <w:br/>
            </w:r>
            <w:r w:rsidR="00BB7FD6" w:rsidRPr="00BD158D">
              <w:rPr>
                <w:rFonts w:eastAsia="Times New Roman" w:cstheme="minorHAnsi"/>
                <w:color w:val="000000"/>
                <w:sz w:val="16"/>
                <w:szCs w:val="16"/>
                <w:lang w:val="en-GB"/>
              </w:rPr>
              <w:b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BD158D" w:rsidRDefault="00BB7FD6"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Ministry of Economy and Sustainable Development;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FD6" w:rsidRPr="00BD158D" w:rsidRDefault="00BB7FD6" w:rsidP="00BB7FD6">
            <w:pPr>
              <w:spacing w:after="0" w:line="240" w:lineRule="auto"/>
              <w:rPr>
                <w:rFonts w:eastAsia="Times New Roman" w:cstheme="minorHAnsi"/>
                <w:color w:val="000000"/>
                <w:sz w:val="16"/>
                <w:szCs w:val="16"/>
                <w:lang w:val="en-GB"/>
              </w:rPr>
            </w:pPr>
            <w:r w:rsidRPr="00BD158D">
              <w:rPr>
                <w:rFonts w:eastAsia="Times New Roman" w:cstheme="minorHAnsi"/>
                <w:color w:val="000000"/>
                <w:sz w:val="16"/>
                <w:szCs w:val="16"/>
                <w:lang w:val="en-GB"/>
              </w:rPr>
              <w:t> </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BB7FD6" w:rsidRPr="00BD158D" w:rsidRDefault="00BB7FD6" w:rsidP="00BB7FD6">
            <w:pPr>
              <w:spacing w:after="0" w:line="240" w:lineRule="auto"/>
              <w:rPr>
                <w:rFonts w:eastAsia="Times New Roman" w:cstheme="minorHAnsi"/>
                <w:color w:val="000000"/>
                <w:sz w:val="16"/>
                <w:szCs w:val="16"/>
                <w:lang w:val="en-GB"/>
              </w:rPr>
            </w:pPr>
          </w:p>
        </w:tc>
      </w:tr>
      <w:tr w:rsidR="00BD158D" w:rsidRPr="00BD158D"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tcPr>
          <w:p w:rsidR="00043975" w:rsidRPr="00BD158D" w:rsidRDefault="00043975" w:rsidP="00BD158D">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t>Council Directive 80/181/EEC of 20 December 1979 on the approximation of the laws of the Member States relating to units of measurement</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N/A</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center"/>
              <w:rPr>
                <w:rFonts w:eastAsia="Times New Roman" w:cstheme="minorHAnsi"/>
                <w:color w:val="000000"/>
                <w:sz w:val="16"/>
                <w:szCs w:val="16"/>
                <w:lang w:val="en-G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BD158D">
            <w:pPr>
              <w:spacing w:after="0" w:line="240" w:lineRule="auto"/>
              <w:jc w:val="center"/>
              <w:rPr>
                <w:rFonts w:eastAsia="Times New Roman" w:cstheme="minorHAnsi"/>
                <w:sz w:val="16"/>
                <w:szCs w:val="16"/>
                <w:lang w:val="en-GB"/>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BD158D" w:rsidP="00BD158D">
            <w:pPr>
              <w:spacing w:after="0" w:line="240" w:lineRule="auto"/>
              <w:jc w:val="center"/>
              <w:rPr>
                <w:rFonts w:eastAsia="Times New Roman" w:cstheme="minorHAnsi"/>
                <w:sz w:val="16"/>
                <w:szCs w:val="16"/>
                <w:lang w:val="en-GB"/>
              </w:rPr>
            </w:pPr>
            <w:proofErr w:type="spellStart"/>
            <w:r w:rsidRPr="001A6D6E">
              <w:rPr>
                <w:rFonts w:eastAsia="Times New Roman" w:cstheme="minorHAnsi"/>
                <w:sz w:val="16"/>
                <w:szCs w:val="16"/>
                <w:lang w:val="en-GB"/>
              </w:rPr>
              <w:t>GeoSTM</w:t>
            </w:r>
            <w:proofErr w:type="spellEnd"/>
            <w:r w:rsidR="00043975" w:rsidRPr="00BD158D">
              <w:rPr>
                <w:rFonts w:eastAsia="Times New Roman" w:cstheme="minorHAnsi"/>
                <w:color w:val="000000"/>
                <w:sz w:val="16"/>
                <w:szCs w:val="16"/>
                <w:lang w:val="en-GB"/>
              </w:rPr>
              <w:br/>
            </w:r>
            <w:r w:rsidR="00043975" w:rsidRPr="00BD158D">
              <w:rPr>
                <w:rFonts w:eastAsia="Times New Roman" w:cstheme="minorHAnsi"/>
                <w:color w:val="000000"/>
                <w:sz w:val="16"/>
                <w:szCs w:val="16"/>
                <w:lang w:val="en-GB"/>
              </w:rPr>
              <w:br/>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center"/>
              <w:rPr>
                <w:rFonts w:eastAsia="Times New Roman" w:cstheme="minorHAnsi"/>
                <w:sz w:val="16"/>
                <w:szCs w:val="16"/>
                <w:lang w:val="en-GB"/>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043975">
            <w:pPr>
              <w:spacing w:after="0" w:line="240" w:lineRule="auto"/>
              <w:rPr>
                <w:rFonts w:eastAsia="Times New Roman" w:cstheme="minorHAnsi"/>
                <w:color w:val="000000"/>
                <w:sz w:val="16"/>
                <w:szCs w:val="16"/>
                <w:lang w:val="en-GB"/>
              </w:rPr>
            </w:pPr>
            <w:proofErr w:type="gramStart"/>
            <w:r w:rsidRPr="00BD158D">
              <w:rPr>
                <w:rFonts w:eastAsia="Times New Roman" w:cstheme="minorHAnsi"/>
                <w:color w:val="000000"/>
                <w:sz w:val="16"/>
                <w:szCs w:val="16"/>
                <w:lang w:val="en-GB"/>
              </w:rPr>
              <w:t>Is guided</w:t>
            </w:r>
            <w:proofErr w:type="gramEnd"/>
            <w:r w:rsidRPr="00BD158D">
              <w:rPr>
                <w:rFonts w:eastAsia="Times New Roman" w:cstheme="minorHAnsi"/>
                <w:color w:val="000000"/>
                <w:sz w:val="16"/>
                <w:szCs w:val="16"/>
                <w:lang w:val="en-GB"/>
              </w:rPr>
              <w:t xml:space="preserve"> by the horizontal ‘principles and practice laid down in relevant Union </w:t>
            </w:r>
            <w:r w:rsidRPr="00BD158D">
              <w:rPr>
                <w:rFonts w:eastAsia="Times New Roman" w:cstheme="minorHAnsi"/>
                <w:i/>
                <w:iCs/>
                <w:color w:val="444444"/>
                <w:sz w:val="16"/>
                <w:szCs w:val="16"/>
                <w:lang w:val="en-GB"/>
              </w:rPr>
              <w:t>acquis</w:t>
            </w:r>
            <w:r w:rsidRPr="00BD158D">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43975" w:rsidRPr="00BD158D" w:rsidRDefault="00043975" w:rsidP="00043975">
            <w:pPr>
              <w:spacing w:after="0" w:line="240" w:lineRule="auto"/>
              <w:rPr>
                <w:rFonts w:eastAsia="Times New Roman" w:cstheme="minorHAnsi"/>
                <w:color w:val="000000"/>
                <w:sz w:val="16"/>
                <w:szCs w:val="16"/>
                <w:lang w:val="en-GB"/>
              </w:rPr>
            </w:pPr>
          </w:p>
        </w:tc>
      </w:tr>
      <w:tr w:rsidR="00BD158D" w:rsidRPr="00BD158D" w:rsidTr="001D170A">
        <w:trPr>
          <w:trHeight w:val="1538"/>
        </w:trPr>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both"/>
              <w:rPr>
                <w:rFonts w:eastAsia="Times New Roman" w:cstheme="minorHAnsi"/>
                <w:color w:val="000000"/>
                <w:sz w:val="16"/>
                <w:szCs w:val="16"/>
                <w:lang w:val="en-GB"/>
              </w:rPr>
            </w:pPr>
            <w:r w:rsidRPr="00BD158D">
              <w:rPr>
                <w:rFonts w:eastAsia="Times New Roman" w:cstheme="minorHAnsi"/>
                <w:color w:val="000000"/>
                <w:sz w:val="16"/>
                <w:szCs w:val="16"/>
                <w:lang w:val="en-GB"/>
              </w:rPr>
              <w:lastRenderedPageBreak/>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center"/>
              <w:rPr>
                <w:rFonts w:eastAsia="Times New Roman" w:cstheme="minorHAnsi"/>
                <w:color w:val="000000"/>
                <w:sz w:val="16"/>
                <w:szCs w:val="16"/>
                <w:lang w:val="en-GB"/>
              </w:rPr>
            </w:pPr>
            <w:r w:rsidRPr="00BD158D">
              <w:rPr>
                <w:rFonts w:eastAsia="Times New Roman" w:cstheme="minorHAnsi"/>
                <w:color w:val="000000"/>
                <w:sz w:val="16"/>
                <w:szCs w:val="16"/>
                <w:lang w:val="en-GB"/>
              </w:rPr>
              <w:t>N/A</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BD158D">
            <w:pPr>
              <w:spacing w:after="0" w:line="240" w:lineRule="auto"/>
              <w:jc w:val="center"/>
              <w:rPr>
                <w:rFonts w:eastAsia="Times New Roman" w:cstheme="minorHAnsi"/>
                <w:color w:val="000000"/>
                <w:sz w:val="16"/>
                <w:szCs w:val="16"/>
                <w:lang w:val="en-G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BD158D">
            <w:pPr>
              <w:spacing w:after="0" w:line="240" w:lineRule="auto"/>
              <w:jc w:val="center"/>
              <w:rPr>
                <w:rFonts w:eastAsia="Times New Roman" w:cstheme="minorHAnsi"/>
                <w:sz w:val="16"/>
                <w:szCs w:val="16"/>
                <w:lang w:val="en-GB"/>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BD158D" w:rsidP="00BD158D">
            <w:pPr>
              <w:spacing w:after="0" w:line="240" w:lineRule="auto"/>
              <w:jc w:val="center"/>
              <w:rPr>
                <w:rFonts w:eastAsia="Times New Roman" w:cstheme="minorHAnsi"/>
                <w:sz w:val="16"/>
                <w:szCs w:val="16"/>
                <w:lang w:val="en-GB"/>
              </w:rPr>
            </w:pPr>
            <w:proofErr w:type="spellStart"/>
            <w:r w:rsidRPr="001A6D6E">
              <w:rPr>
                <w:rFonts w:eastAsia="Times New Roman" w:cstheme="minorHAnsi"/>
                <w:sz w:val="16"/>
                <w:szCs w:val="16"/>
                <w:lang w:val="en-GB"/>
              </w:rPr>
              <w:t>GeoSTM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rsidR="00043975" w:rsidRPr="00BD158D" w:rsidRDefault="00043975" w:rsidP="00043975">
            <w:pPr>
              <w:spacing w:after="0" w:line="240" w:lineRule="auto"/>
              <w:rPr>
                <w:rFonts w:eastAsia="Times New Roman" w:cstheme="minorHAnsi"/>
                <w:sz w:val="16"/>
                <w:szCs w:val="16"/>
                <w:lang w:val="en-GB"/>
              </w:rPr>
            </w:pPr>
            <w:r w:rsidRPr="00BD158D">
              <w:rPr>
                <w:rFonts w:eastAsia="Times New Roman" w:cstheme="minorHAnsi"/>
                <w:sz w:val="16"/>
                <w:szCs w:val="16"/>
                <w:lang w:val="en-GB"/>
              </w:rPr>
              <w:t>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043975" w:rsidRPr="00BD158D" w:rsidRDefault="00043975" w:rsidP="00043975">
            <w:pPr>
              <w:spacing w:after="0" w:line="240" w:lineRule="auto"/>
              <w:rPr>
                <w:rFonts w:eastAsia="Times New Roman" w:cstheme="minorHAnsi"/>
                <w:color w:val="000000"/>
                <w:sz w:val="16"/>
                <w:szCs w:val="16"/>
                <w:lang w:val="en-GB"/>
              </w:rPr>
            </w:pPr>
            <w:proofErr w:type="gramStart"/>
            <w:r w:rsidRPr="00BD158D">
              <w:rPr>
                <w:rFonts w:eastAsia="Times New Roman" w:cstheme="minorHAnsi"/>
                <w:color w:val="000000"/>
                <w:sz w:val="16"/>
                <w:szCs w:val="16"/>
                <w:lang w:val="en-GB"/>
              </w:rPr>
              <w:t>Is guided</w:t>
            </w:r>
            <w:proofErr w:type="gramEnd"/>
            <w:r w:rsidRPr="00BD158D">
              <w:rPr>
                <w:rFonts w:eastAsia="Times New Roman" w:cstheme="minorHAnsi"/>
                <w:color w:val="000000"/>
                <w:sz w:val="16"/>
                <w:szCs w:val="16"/>
                <w:lang w:val="en-GB"/>
              </w:rPr>
              <w:t xml:space="preserve"> by the horizontal ‘principles and practice laid down in relevant Union </w:t>
            </w:r>
            <w:r w:rsidRPr="00BD158D">
              <w:rPr>
                <w:rFonts w:eastAsia="Times New Roman" w:cstheme="minorHAnsi"/>
                <w:i/>
                <w:iCs/>
                <w:color w:val="444444"/>
                <w:sz w:val="16"/>
                <w:szCs w:val="16"/>
                <w:lang w:val="en-GB"/>
              </w:rPr>
              <w:t>acquis</w:t>
            </w:r>
            <w:r w:rsidRPr="00BD158D">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43975" w:rsidRPr="00BD158D" w:rsidRDefault="00043975" w:rsidP="00043975">
            <w:pPr>
              <w:spacing w:after="0" w:line="240" w:lineRule="auto"/>
              <w:rPr>
                <w:rFonts w:eastAsia="Times New Roman" w:cstheme="minorHAnsi"/>
                <w:color w:val="000000"/>
                <w:sz w:val="16"/>
                <w:szCs w:val="16"/>
                <w:lang w:val="en-GB"/>
              </w:rPr>
            </w:pPr>
          </w:p>
        </w:tc>
      </w:tr>
    </w:tbl>
    <w:p w:rsidR="00BD158D" w:rsidRPr="00BD158D" w:rsidRDefault="00BD158D" w:rsidP="00BD158D">
      <w:pPr>
        <w:rPr>
          <w:rFonts w:cstheme="minorHAnsi"/>
          <w:b/>
          <w:color w:val="2E74B5" w:themeColor="accent1" w:themeShade="BF"/>
          <w:sz w:val="24"/>
          <w:szCs w:val="24"/>
          <w:u w:val="single"/>
          <w:lang w:val="en-GB"/>
        </w:rPr>
      </w:pPr>
      <w:bookmarkStart w:id="0" w:name="_GoBack"/>
      <w:bookmarkEnd w:id="0"/>
    </w:p>
    <w:sectPr w:rsidR="00BD158D" w:rsidRPr="00BD158D" w:rsidSect="00BD158D">
      <w:footerReference w:type="default" r:id="rId7"/>
      <w:pgSz w:w="15840" w:h="12240" w:orient="landscape"/>
      <w:pgMar w:top="1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158" w:rsidRDefault="00C93158" w:rsidP="00F105E6">
      <w:pPr>
        <w:spacing w:after="0" w:line="240" w:lineRule="auto"/>
      </w:pPr>
      <w:r>
        <w:separator/>
      </w:r>
    </w:p>
  </w:endnote>
  <w:endnote w:type="continuationSeparator" w:id="0">
    <w:p w:rsidR="00C93158" w:rsidRDefault="00C93158" w:rsidP="00F1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83053"/>
      <w:docPartObj>
        <w:docPartGallery w:val="Page Numbers (Bottom of Page)"/>
        <w:docPartUnique/>
      </w:docPartObj>
    </w:sdtPr>
    <w:sdtEndPr>
      <w:rPr>
        <w:noProof/>
      </w:rPr>
    </w:sdtEndPr>
    <w:sdtContent>
      <w:p w:rsidR="0049351E" w:rsidRDefault="0049351E">
        <w:pPr>
          <w:pStyle w:val="Footer"/>
          <w:jc w:val="right"/>
        </w:pPr>
        <w:r>
          <w:fldChar w:fldCharType="begin"/>
        </w:r>
        <w:r>
          <w:instrText xml:space="preserve"> PAGE   \* MERGEFORMAT </w:instrText>
        </w:r>
        <w:r>
          <w:fldChar w:fldCharType="separate"/>
        </w:r>
        <w:r w:rsidR="00CE1AFB">
          <w:rPr>
            <w:noProof/>
          </w:rPr>
          <w:t>3</w:t>
        </w:r>
        <w:r>
          <w:rPr>
            <w:noProof/>
          </w:rPr>
          <w:fldChar w:fldCharType="end"/>
        </w:r>
      </w:p>
    </w:sdtContent>
  </w:sdt>
  <w:p w:rsidR="0049351E" w:rsidRDefault="00493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158" w:rsidRDefault="00C93158" w:rsidP="00F105E6">
      <w:pPr>
        <w:spacing w:after="0" w:line="240" w:lineRule="auto"/>
      </w:pPr>
      <w:r>
        <w:separator/>
      </w:r>
    </w:p>
  </w:footnote>
  <w:footnote w:type="continuationSeparator" w:id="0">
    <w:p w:rsidR="00C93158" w:rsidRDefault="00C93158" w:rsidP="00F10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E8"/>
    <w:rsid w:val="0001607A"/>
    <w:rsid w:val="00043975"/>
    <w:rsid w:val="00153BE3"/>
    <w:rsid w:val="00170574"/>
    <w:rsid w:val="00173B39"/>
    <w:rsid w:val="00184030"/>
    <w:rsid w:val="001D170A"/>
    <w:rsid w:val="002B6DB3"/>
    <w:rsid w:val="004265F5"/>
    <w:rsid w:val="0049351E"/>
    <w:rsid w:val="00525EBB"/>
    <w:rsid w:val="005C2B33"/>
    <w:rsid w:val="00641403"/>
    <w:rsid w:val="006663AB"/>
    <w:rsid w:val="006D4442"/>
    <w:rsid w:val="007309A9"/>
    <w:rsid w:val="00792FAB"/>
    <w:rsid w:val="008255D8"/>
    <w:rsid w:val="008C4D86"/>
    <w:rsid w:val="009718DE"/>
    <w:rsid w:val="00971B29"/>
    <w:rsid w:val="00A16808"/>
    <w:rsid w:val="00A53A20"/>
    <w:rsid w:val="00A6452C"/>
    <w:rsid w:val="00AE69E2"/>
    <w:rsid w:val="00BB7FD6"/>
    <w:rsid w:val="00BD158D"/>
    <w:rsid w:val="00C503A5"/>
    <w:rsid w:val="00C93158"/>
    <w:rsid w:val="00CE1AFB"/>
    <w:rsid w:val="00EC09E8"/>
    <w:rsid w:val="00F1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CCC4"/>
  <w15:chartTrackingRefBased/>
  <w15:docId w15:val="{A5E83B1B-727A-423C-A1BD-DF8E3DB8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0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5E6"/>
    <w:rPr>
      <w:sz w:val="20"/>
      <w:szCs w:val="20"/>
    </w:rPr>
  </w:style>
  <w:style w:type="character" w:styleId="FootnoteReference">
    <w:name w:val="footnote reference"/>
    <w:basedOn w:val="DefaultParagraphFont"/>
    <w:uiPriority w:val="99"/>
    <w:semiHidden/>
    <w:unhideWhenUsed/>
    <w:rsid w:val="00F105E6"/>
    <w:rPr>
      <w:vertAlign w:val="superscript"/>
    </w:rPr>
  </w:style>
  <w:style w:type="paragraph" w:styleId="BalloonText">
    <w:name w:val="Balloon Text"/>
    <w:basedOn w:val="Normal"/>
    <w:link w:val="BalloonTextChar"/>
    <w:uiPriority w:val="99"/>
    <w:semiHidden/>
    <w:unhideWhenUsed/>
    <w:rsid w:val="004265F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65F5"/>
    <w:rPr>
      <w:rFonts w:ascii="Times New Roman" w:hAnsi="Times New Roman" w:cs="Times New Roman"/>
      <w:sz w:val="18"/>
      <w:szCs w:val="18"/>
    </w:rPr>
  </w:style>
  <w:style w:type="paragraph" w:styleId="Header">
    <w:name w:val="header"/>
    <w:basedOn w:val="Normal"/>
    <w:link w:val="HeaderChar"/>
    <w:uiPriority w:val="99"/>
    <w:unhideWhenUsed/>
    <w:rsid w:val="004935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351E"/>
  </w:style>
  <w:style w:type="paragraph" w:styleId="Footer">
    <w:name w:val="footer"/>
    <w:basedOn w:val="Normal"/>
    <w:link w:val="FooterChar"/>
    <w:uiPriority w:val="99"/>
    <w:unhideWhenUsed/>
    <w:rsid w:val="004935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049F-5F54-4CCE-A9FB-1B61C943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13</cp:revision>
  <dcterms:created xsi:type="dcterms:W3CDTF">2020-09-30T11:31:00Z</dcterms:created>
  <dcterms:modified xsi:type="dcterms:W3CDTF">2020-10-08T09:25:00Z</dcterms:modified>
</cp:coreProperties>
</file>